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60" w:lineRule="exact"/>
        <w:jc w:val="center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职称材料相关要求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一、关于材料：所有送审材料应装入送审材料袋内。材料袋的正面写明申报参评人员姓名、单位、申报参评何系列、何职称、何学科专业及标注差额或等额。材料袋的底端封口处应醒目地标明申报参评姓名、所在（送审）单位、申报专业和标注差额或等额。 送审材料最多不超过3袋，材料袋使用牛皮纸纸质袋，为防止材料袋在转移中破损，不可使用塑料袋和档案盒作为材料袋。材料袋封面和底端采用不同颜色的字纸粘贴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邵东市、新宁县：红色，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隆回县、城步县：绿色，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新邵县、绥宁县：蓝色，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武冈市、洞口县：黄色，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大祥区、双清区、北塔区、市直：白色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中学学段（含初中、高中、职高）：分</w:t>
      </w:r>
      <w:r>
        <w:rPr>
          <w:rFonts w:hint="eastAsia" w:ascii="仿宋" w:hAnsi="仿宋" w:eastAsia="仿宋" w:cs="仿宋"/>
          <w:sz w:val="32"/>
          <w:szCs w:val="32"/>
        </w:rPr>
        <w:t>等额申报和差额申报种类，按学科和参评人员花名册顺序编号每5人打一捆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小学学段（含幼儿园）：按县市区、</w:t>
      </w:r>
      <w:r>
        <w:rPr>
          <w:rFonts w:hint="eastAsia" w:ascii="仿宋" w:hAnsi="仿宋" w:eastAsia="仿宋" w:cs="仿宋"/>
          <w:sz w:val="32"/>
          <w:szCs w:val="32"/>
        </w:rPr>
        <w:t>学科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以学校相对集中和参评人员花名册顺序</w:t>
      </w:r>
      <w:r>
        <w:rPr>
          <w:rFonts w:hint="eastAsia" w:ascii="仿宋" w:hAnsi="仿宋" w:eastAsia="仿宋" w:cs="仿宋"/>
          <w:sz w:val="32"/>
          <w:szCs w:val="32"/>
        </w:rPr>
        <w:t>编号每5人打一捆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关于申报对象材料顺序和表决花名册顺序必须一致，其编号是唯一的。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4675505" cy="3876675"/>
            <wp:effectExtent l="0" t="0" r="10795" b="952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550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460" w:lineRule="exact"/>
        <w:ind w:firstLine="640" w:firstLineChars="20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eastAsia="zh-CN"/>
        </w:rPr>
        <w:t>二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、关于申报对象的单位：</w:t>
      </w:r>
      <w:r>
        <w:rPr>
          <w:rFonts w:hint="eastAsia" w:ascii="仿宋" w:hAnsi="仿宋" w:eastAsia="仿宋" w:cs="仿宋"/>
          <w:sz w:val="32"/>
          <w:szCs w:val="32"/>
        </w:rPr>
        <w:t>规范填写，与学校（单位）公章字样完全一致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（职数申报单位、表决花名册填写单位、职数核对花名册填写单位），职称系统填写单位按实填写；关于申报对象的姓名，姓名中间不能有空格。</w:t>
      </w:r>
    </w:p>
    <w:p>
      <w:pPr>
        <w:keepNext w:val="0"/>
        <w:keepLines w:val="0"/>
        <w:pageBreakBefore w:val="0"/>
        <w:widowControl w:val="0"/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ind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申报专业</w:t>
      </w:r>
      <w:r>
        <w:rPr>
          <w:rFonts w:hint="eastAsia" w:ascii="仿宋" w:hAnsi="仿宋" w:eastAsia="仿宋" w:cs="仿宋"/>
          <w:sz w:val="32"/>
          <w:szCs w:val="32"/>
        </w:rPr>
        <w:t>：具体名称见《“湖南职称与专家管理系统”中小学教师系列专业技术职称（职务）名称及分支专业名称》。统一规范为：幼儿园教师统一填写为“学前教育”，小学教师在任教学科前填写“小学”字样，如“小学语文”，初中教师在任教学科前填写“初中”字样，如“初中物理”，高中教师在任教学科前填写“高中”字样，如“高中化学”。外语教师要求</w:t>
      </w:r>
      <w:bookmarkStart w:id="0" w:name="_GoBack"/>
      <w:bookmarkEnd w:id="0"/>
      <w:r>
        <w:rPr>
          <w:rFonts w:hint="eastAsia" w:ascii="仿宋" w:hAnsi="仿宋" w:eastAsia="仿宋" w:cs="仿宋"/>
          <w:sz w:val="32"/>
          <w:szCs w:val="32"/>
        </w:rPr>
        <w:t>，如“高中外语”，不得填写“高中英语”。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315"/>
        </w:tabs>
        <w:kinsoku/>
        <w:wordWrap/>
        <w:overflowPunct/>
        <w:topLinePunct w:val="0"/>
        <w:autoSpaceDE/>
        <w:autoSpaceDN/>
        <w:bidi w:val="0"/>
        <w:snapToGrid w:val="0"/>
        <w:spacing w:line="460" w:lineRule="exact"/>
        <w:jc w:val="left"/>
        <w:textAlignment w:val="auto"/>
        <w:outlineLvl w:val="9"/>
        <w:rPr>
          <w:rFonts w:hint="eastAsia" w:asciiTheme="majorEastAsia" w:hAnsiTheme="majorEastAsia" w:eastAsiaTheme="majorEastAsia" w:cstheme="majorEastAsia"/>
          <w:sz w:val="32"/>
          <w:szCs w:val="32"/>
        </w:rPr>
      </w:pPr>
    </w:p>
    <w:sectPr>
      <w:footerReference r:id="rId3" w:type="default"/>
      <w:pgSz w:w="11906" w:h="16838"/>
      <w:pgMar w:top="1134" w:right="1418" w:bottom="1134" w:left="1474" w:header="851" w:footer="1644" w:gutter="0"/>
      <w:pgNumType w:fmt="numberInDash"/>
      <w:cols w:space="0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ind w:left="315" w:leftChars="150" w:right="315" w:rightChars="150"/>
      <w:rPr>
        <w:sz w:val="28"/>
        <w:szCs w:val="28"/>
      </w:rPr>
    </w:pPr>
    <w:r>
      <w:rPr>
        <w:sz w:val="28"/>
        <w:szCs w:val="28"/>
      </w:rPr>
      <w:t xml:space="preserve">— </w:t>
    </w:r>
    <w:r>
      <w:rPr>
        <w:sz w:val="28"/>
        <w:szCs w:val="28"/>
      </w:rPr>
      <w:fldChar w:fldCharType="begin"/>
    </w:r>
    <w:r>
      <w:rPr>
        <w:rStyle w:val="4"/>
        <w:sz w:val="28"/>
        <w:szCs w:val="28"/>
      </w:rPr>
      <w:instrText xml:space="preserve"> PAGE  </w:instrText>
    </w:r>
    <w:r>
      <w:rPr>
        <w:sz w:val="28"/>
        <w:szCs w:val="28"/>
      </w:rPr>
      <w:fldChar w:fldCharType="separate"/>
    </w:r>
    <w:r>
      <w:rPr>
        <w:rStyle w:val="4"/>
        <w:sz w:val="28"/>
        <w:szCs w:val="28"/>
      </w:rPr>
      <w:t>- 13 -</w:t>
    </w:r>
    <w:r>
      <w:rPr>
        <w:sz w:val="28"/>
        <w:szCs w:val="28"/>
      </w:rPr>
      <w:fldChar w:fldCharType="end"/>
    </w:r>
    <w:r>
      <w:rPr>
        <w:sz w:val="28"/>
        <w:szCs w:val="28"/>
      </w:rPr>
      <w:t xml:space="preserve"> —</w:t>
    </w:r>
  </w:p>
  <w:p>
    <w:pPr>
      <w:pStyle w:val="2"/>
      <w:ind w:right="360" w:firstLine="36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B21091"/>
    <w:multiLevelType w:val="singleLevel"/>
    <w:tmpl w:val="5DB21091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DAB1E3C"/>
    <w:rsid w:val="0D931918"/>
    <w:rsid w:val="11E95734"/>
    <w:rsid w:val="23E110F2"/>
    <w:rsid w:val="28C77946"/>
    <w:rsid w:val="2BBF2307"/>
    <w:rsid w:val="2CE02BEE"/>
    <w:rsid w:val="34BB73F9"/>
    <w:rsid w:val="46647C7D"/>
    <w:rsid w:val="4AE47B86"/>
    <w:rsid w:val="4F232C6A"/>
    <w:rsid w:val="52C21144"/>
    <w:rsid w:val="543B6158"/>
    <w:rsid w:val="5BC521AD"/>
    <w:rsid w:val="5F1321AA"/>
    <w:rsid w:val="694D6FD1"/>
    <w:rsid w:val="69D22A8E"/>
    <w:rsid w:val="69DC1C92"/>
    <w:rsid w:val="6AEF5E9B"/>
    <w:rsid w:val="6CBD3D48"/>
    <w:rsid w:val="71CE545A"/>
    <w:rsid w:val="75E377AE"/>
    <w:rsid w:val="7DAB1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99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4">
    <w:name w:val="page number"/>
    <w:basedOn w:val="3"/>
    <w:qFormat/>
    <w:uiPriority w:val="99"/>
    <w:rPr>
      <w:rFonts w:cs="Times New Roman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2019-09-19T00:31:00Z</dcterms:created>
  <dc:creator>途中</dc:creator>
  <cp:lastModifiedBy>途中</cp:lastModifiedBy>
  <cp:lastPrinted>2020-09-24T07:16:00Z</cp:lastPrinted>
  <dcterms:modified xsi:type="dcterms:W3CDTF">2022-09-20T08:42:16Z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