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r>
        <w:rPr>
          <w:rFonts w:hint="eastAsia" w:ascii="黑体" w:hAnsi="黑体" w:eastAsia="黑体"/>
          <w:sz w:val="32"/>
          <w:szCs w:val="32"/>
        </w:rPr>
        <w:t>附件1</w:t>
      </w:r>
    </w:p>
    <w:p>
      <w:pPr>
        <w:jc w:val="center"/>
        <w:rPr>
          <w:rFonts w:hint="eastAsia" w:ascii="黑体" w:eastAsia="黑体"/>
          <w:sz w:val="44"/>
          <w:szCs w:val="44"/>
        </w:rPr>
      </w:pPr>
      <w:r>
        <w:rPr>
          <w:rFonts w:hint="eastAsia" w:ascii="黑体" w:hAnsi="黑体" w:eastAsia="黑体"/>
          <w:sz w:val="44"/>
          <w:szCs w:val="44"/>
        </w:rPr>
        <w:t>项目绩效自评报告表</w:t>
      </w:r>
    </w:p>
    <w:p>
      <w:pPr>
        <w:jc w:val="center"/>
        <w:rPr>
          <w:rFonts w:hint="eastAsia" w:ascii="楷体" w:hAnsi="楷体" w:eastAsia="楷体"/>
          <w:sz w:val="32"/>
          <w:szCs w:val="32"/>
        </w:rPr>
      </w:pPr>
      <w:r>
        <w:rPr>
          <w:rFonts w:hint="eastAsia" w:ascii="楷体" w:hAnsi="楷体" w:eastAsia="楷体"/>
          <w:sz w:val="32"/>
          <w:szCs w:val="32"/>
        </w:rPr>
        <w:t>（实施单位用）</w:t>
      </w:r>
    </w:p>
    <w:p>
      <w:pPr>
        <w:spacing w:line="360" w:lineRule="auto"/>
        <w:ind w:firstLine="320" w:firstLineChars="100"/>
        <w:rPr>
          <w:rFonts w:hint="eastAsia" w:ascii="楷体" w:hAnsi="楷体" w:eastAsia="楷体"/>
          <w:sz w:val="32"/>
          <w:szCs w:val="32"/>
        </w:rPr>
      </w:pPr>
      <w:r>
        <w:rPr>
          <w:rFonts w:hint="eastAsia" w:ascii="楷体" w:hAnsi="楷体" w:eastAsia="楷体"/>
          <w:sz w:val="32"/>
          <w:szCs w:val="32"/>
        </w:rPr>
        <w:t>填报单位：</w:t>
      </w:r>
      <w:r>
        <w:rPr>
          <w:rFonts w:hint="eastAsia" w:ascii="楷体" w:hAnsi="楷体"/>
          <w:sz w:val="32"/>
          <w:szCs w:val="32"/>
          <w:lang w:eastAsia="zh-CN"/>
        </w:rPr>
        <w:t>邵阳市教育局</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w:t>
      </w:r>
      <w:r>
        <w:rPr>
          <w:rFonts w:hint="eastAsia" w:ascii="楷体" w:hAnsi="楷体" w:eastAsia="楷体"/>
          <w:sz w:val="32"/>
          <w:szCs w:val="32"/>
        </w:rPr>
        <w:t>填报日期：</w:t>
      </w:r>
      <w:r>
        <w:rPr>
          <w:rFonts w:hint="eastAsia" w:ascii="楷体" w:hAnsi="楷体" w:eastAsia="楷体"/>
          <w:sz w:val="32"/>
          <w:szCs w:val="32"/>
          <w:lang w:val="en-US" w:eastAsia="zh-CN"/>
        </w:rPr>
        <w:t>2022</w:t>
      </w:r>
      <w:r>
        <w:rPr>
          <w:rFonts w:hint="eastAsia" w:ascii="楷体" w:hAnsi="楷体" w:eastAsia="楷体"/>
          <w:sz w:val="32"/>
          <w:szCs w:val="32"/>
        </w:rPr>
        <w:t>年</w:t>
      </w:r>
      <w:r>
        <w:rPr>
          <w:rFonts w:hint="eastAsia" w:ascii="楷体" w:hAnsi="楷体" w:eastAsia="楷体"/>
          <w:sz w:val="32"/>
          <w:szCs w:val="32"/>
          <w:lang w:val="en-US" w:eastAsia="zh-CN"/>
        </w:rPr>
        <w:t>9</w:t>
      </w:r>
      <w:r>
        <w:rPr>
          <w:rFonts w:hint="eastAsia" w:ascii="楷体" w:hAnsi="楷体" w:eastAsia="楷体"/>
          <w:sz w:val="32"/>
          <w:szCs w:val="32"/>
        </w:rPr>
        <w:t>月</w:t>
      </w:r>
      <w:r>
        <w:rPr>
          <w:rFonts w:hint="eastAsia" w:ascii="楷体" w:hAnsi="楷体" w:eastAsia="楷体"/>
          <w:sz w:val="32"/>
          <w:szCs w:val="32"/>
          <w:lang w:val="en-US" w:eastAsia="zh-CN"/>
        </w:rPr>
        <w:t>2</w:t>
      </w:r>
      <w:r>
        <w:rPr>
          <w:rFonts w:hint="eastAsia" w:ascii="楷体" w:hAnsi="楷体" w:eastAsia="楷体"/>
          <w:sz w:val="32"/>
          <w:szCs w:val="32"/>
        </w:rPr>
        <w:t xml:space="preserve">日   </w:t>
      </w:r>
    </w:p>
    <w:tbl>
      <w:tblPr>
        <w:tblStyle w:val="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项目名称</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lang w:val="en-US" w:eastAsia="zh-CN"/>
              </w:rPr>
              <w:t>义务教育教师工资待遇落实情况专项督导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hint="default" w:ascii="楷体" w:hAnsi="楷体" w:eastAsia="楷体" w:cs="Times New Roman"/>
                <w:sz w:val="28"/>
                <w:szCs w:val="28"/>
                <w:lang w:val="en-US" w:eastAsia="zh-CN"/>
              </w:rPr>
            </w:pPr>
            <w:r>
              <w:rPr>
                <w:rFonts w:hint="eastAsia" w:ascii="楷体" w:hAnsi="楷体" w:eastAsia="楷体" w:cs="Times New Roman"/>
                <w:sz w:val="28"/>
                <w:szCs w:val="28"/>
                <w:lang w:val="en-US" w:eastAsia="zh-CN"/>
              </w:rPr>
              <w:t>1.</w:t>
            </w:r>
            <w:r>
              <w:rPr>
                <w:rFonts w:hint="eastAsia" w:ascii="楷体" w:hAnsi="楷体" w:eastAsia="楷体" w:cs="Times New Roman"/>
                <w:sz w:val="28"/>
                <w:szCs w:val="28"/>
                <w:lang w:eastAsia="zh-CN"/>
              </w:rPr>
              <w:t>专家评审费</w:t>
            </w:r>
            <w:r>
              <w:rPr>
                <w:rFonts w:hint="eastAsia" w:ascii="楷体" w:hAnsi="楷体" w:eastAsia="楷体" w:cs="Times New Roman"/>
                <w:sz w:val="28"/>
                <w:szCs w:val="28"/>
                <w:lang w:val="en-US" w:eastAsia="zh-CN"/>
              </w:rPr>
              <w:t>2.</w:t>
            </w:r>
            <w:r>
              <w:rPr>
                <w:rFonts w:hint="eastAsia" w:ascii="楷体" w:hAnsi="楷体" w:eastAsia="楷体" w:cs="Times New Roman"/>
                <w:sz w:val="28"/>
                <w:szCs w:val="28"/>
                <w:lang w:eastAsia="zh-CN"/>
              </w:rPr>
              <w:t>住宿、伙食费</w:t>
            </w:r>
            <w:r>
              <w:rPr>
                <w:rFonts w:hint="eastAsia" w:ascii="楷体" w:hAnsi="楷体" w:eastAsia="楷体" w:cs="Times New Roman"/>
                <w:sz w:val="28"/>
                <w:szCs w:val="28"/>
                <w:lang w:val="en-US" w:eastAsia="zh-CN"/>
              </w:rPr>
              <w:t>3.车辆租金4.会议组织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项目单位</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邵阳市人民政府教育督导委员会办公室</w:t>
            </w:r>
          </w:p>
        </w:tc>
        <w:tc>
          <w:tcPr>
            <w:tcW w:w="2070" w:type="dxa"/>
            <w:gridSpan w:val="2"/>
            <w:tcBorders>
              <w:top w:val="single" w:color="auto" w:sz="4" w:space="0"/>
              <w:left w:val="nil"/>
              <w:bottom w:val="single" w:color="auto" w:sz="4" w:space="0"/>
              <w:right w:val="single" w:color="auto" w:sz="4" w:space="0"/>
            </w:tcBorders>
            <w:vAlign w:val="center"/>
          </w:tcPr>
          <w:p>
            <w:pPr>
              <w:spacing w:line="540" w:lineRule="exact"/>
              <w:jc w:val="left"/>
              <w:rPr>
                <w:rFonts w:hint="eastAsia" w:ascii="楷体" w:hAnsi="楷体" w:eastAsia="楷体" w:cs="Times New Roman"/>
                <w:sz w:val="28"/>
                <w:szCs w:val="28"/>
                <w:lang w:eastAsia="zh-CN"/>
              </w:rPr>
            </w:pPr>
            <w:r>
              <w:rPr>
                <w:rFonts w:hint="eastAsia" w:ascii="楷体" w:hAnsi="楷体" w:eastAsia="楷体" w:cs="Times New Roman"/>
                <w:sz w:val="28"/>
                <w:szCs w:val="28"/>
                <w:lang w:eastAsia="zh-CN"/>
              </w:rPr>
              <w:t xml:space="preserve"> 主管部门</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肖玉叶</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项目负责人</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杨进琼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xml:space="preserve"> □经常性  □一次性  </w:t>
            </w:r>
            <w:r>
              <w:rPr>
                <w:rFonts w:hint="eastAsia" w:ascii="楷体" w:hAnsi="楷体" w:eastAsia="楷体"/>
                <w:sz w:val="28"/>
                <w:szCs w:val="28"/>
                <w:lang w:eastAsia="zh-CN"/>
              </w:rPr>
              <w:t>□</w:t>
            </w:r>
            <w:r>
              <w:rPr>
                <w:rFonts w:hint="eastAsia" w:ascii="楷体" w:hAnsi="楷体" w:eastAsia="楷体"/>
                <w:sz w:val="28"/>
                <w:szCs w:val="28"/>
              </w:rPr>
              <w:t xml:space="preserve">新增  </w:t>
            </w:r>
            <w:r>
              <w:rPr>
                <w:rFonts w:hint="eastAsia" w:ascii="楷体" w:hAnsi="楷体" w:eastAsia="楷体"/>
                <w:sz w:val="28"/>
                <w:szCs w:val="28"/>
                <w:lang w:eastAsia="zh-CN"/>
              </w:rPr>
              <w:t>☑</w:t>
            </w:r>
            <w:r>
              <w:rPr>
                <w:rFonts w:hint="eastAsia" w:ascii="楷体" w:hAnsi="楷体" w:eastAsia="楷体"/>
                <w:sz w:val="28"/>
                <w:szCs w:val="28"/>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资金总额    及构成</w:t>
            </w:r>
          </w:p>
        </w:tc>
        <w:tc>
          <w:tcPr>
            <w:tcW w:w="6506" w:type="dxa"/>
            <w:gridSpan w:val="6"/>
            <w:tcBorders>
              <w:top w:val="single" w:color="auto" w:sz="4" w:space="0"/>
              <w:left w:val="nil"/>
              <w:bottom w:val="single" w:color="auto" w:sz="4" w:space="0"/>
              <w:right w:val="single" w:color="auto" w:sz="4" w:space="0"/>
            </w:tcBorders>
          </w:tcPr>
          <w:p>
            <w:pPr>
              <w:spacing w:line="0" w:lineRule="atLeast"/>
              <w:jc w:val="left"/>
              <w:rPr>
                <w:rFonts w:ascii="楷体" w:hAnsi="楷体" w:eastAsia="楷体"/>
                <w:sz w:val="28"/>
                <w:szCs w:val="28"/>
              </w:rPr>
            </w:pPr>
            <w:r>
              <w:rPr>
                <w:rFonts w:hint="eastAsia" w:ascii="楷体" w:hAnsi="楷体" w:eastAsia="楷体"/>
                <w:sz w:val="28"/>
                <w:szCs w:val="28"/>
              </w:rPr>
              <w:t>总额：</w:t>
            </w:r>
            <w:r>
              <w:rPr>
                <w:rFonts w:hint="eastAsia" w:ascii="楷体" w:hAnsi="楷体" w:eastAsia="楷体"/>
                <w:sz w:val="28"/>
                <w:szCs w:val="28"/>
                <w:lang w:val="en-US" w:eastAsia="zh-CN"/>
              </w:rPr>
              <w:t>8</w:t>
            </w:r>
            <w:r>
              <w:rPr>
                <w:rFonts w:hint="eastAsia" w:ascii="楷体" w:hAnsi="楷体" w:eastAsia="楷体"/>
                <w:sz w:val="28"/>
                <w:szCs w:val="28"/>
              </w:rPr>
              <w:t>万元，其中：省级财政  万元；市级财政</w:t>
            </w:r>
            <w:r>
              <w:rPr>
                <w:rFonts w:hint="eastAsia" w:ascii="楷体" w:hAnsi="楷体" w:eastAsia="楷体"/>
                <w:sz w:val="28"/>
                <w:szCs w:val="28"/>
                <w:lang w:val="en-US" w:eastAsia="zh-CN"/>
              </w:rPr>
              <w:t>8</w:t>
            </w:r>
            <w:r>
              <w:rPr>
                <w:rFonts w:hint="eastAsia" w:ascii="楷体" w:hAnsi="楷体" w:eastAsia="楷体"/>
                <w:sz w:val="28"/>
                <w:szCs w:val="28"/>
              </w:rPr>
              <w:t>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项目起止时间</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280" w:firstLineChars="100"/>
              <w:jc w:val="left"/>
              <w:rPr>
                <w:rFonts w:ascii="楷体" w:hAnsi="楷体" w:eastAsia="楷体"/>
                <w:sz w:val="28"/>
                <w:szCs w:val="28"/>
              </w:rPr>
            </w:pPr>
            <w:r>
              <w:rPr>
                <w:rFonts w:hint="eastAsia" w:ascii="楷体" w:hAnsi="楷体" w:eastAsia="楷体"/>
                <w:sz w:val="28"/>
                <w:szCs w:val="28"/>
                <w:lang w:val="en-US" w:eastAsia="zh-CN"/>
              </w:rPr>
              <w:t>2021</w:t>
            </w:r>
            <w:r>
              <w:rPr>
                <w:rFonts w:hint="eastAsia" w:ascii="楷体" w:hAnsi="楷体" w:eastAsia="楷体"/>
                <w:sz w:val="28"/>
                <w:szCs w:val="28"/>
              </w:rPr>
              <w:t>年</w:t>
            </w:r>
            <w:r>
              <w:rPr>
                <w:rFonts w:hint="eastAsia" w:ascii="楷体" w:hAnsi="楷体" w:eastAsia="楷体"/>
                <w:sz w:val="28"/>
                <w:szCs w:val="28"/>
                <w:lang w:val="en-US" w:eastAsia="zh-CN"/>
              </w:rPr>
              <w:t>1</w:t>
            </w:r>
            <w:r>
              <w:rPr>
                <w:rFonts w:hint="eastAsia" w:ascii="楷体" w:hAnsi="楷体" w:eastAsia="楷体"/>
                <w:sz w:val="28"/>
                <w:szCs w:val="28"/>
              </w:rPr>
              <w:t>月起至</w:t>
            </w:r>
            <w:r>
              <w:rPr>
                <w:rFonts w:hint="eastAsia" w:ascii="楷体" w:hAnsi="楷体" w:eastAsia="楷体"/>
                <w:sz w:val="28"/>
                <w:szCs w:val="28"/>
                <w:lang w:val="en-US" w:eastAsia="zh-CN"/>
              </w:rPr>
              <w:t>2021</w:t>
            </w:r>
            <w:r>
              <w:rPr>
                <w:rFonts w:hint="eastAsia" w:ascii="楷体" w:hAnsi="楷体" w:eastAsia="楷体"/>
                <w:sz w:val="28"/>
                <w:szCs w:val="28"/>
              </w:rPr>
              <w:t>年</w:t>
            </w:r>
            <w:r>
              <w:rPr>
                <w:rFonts w:hint="eastAsia" w:ascii="楷体" w:hAnsi="楷体" w:eastAsia="楷体"/>
                <w:sz w:val="28"/>
                <w:szCs w:val="28"/>
                <w:lang w:val="en-US" w:eastAsia="zh-CN"/>
              </w:rPr>
              <w:t>9</w:t>
            </w:r>
            <w:r>
              <w:rPr>
                <w:rFonts w:hint="eastAsia" w:ascii="楷体" w:hAnsi="楷体" w:eastAsia="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项目立项依据</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560" w:firstLineChars="200"/>
              <w:jc w:val="left"/>
              <w:rPr>
                <w:rFonts w:ascii="楷体" w:hAnsi="楷体" w:eastAsia="楷体"/>
                <w:sz w:val="28"/>
                <w:szCs w:val="28"/>
              </w:rPr>
            </w:pPr>
            <w:r>
              <w:rPr>
                <w:rFonts w:hint="eastAsia" w:ascii="楷体" w:hAnsi="楷体" w:eastAsia="楷体"/>
                <w:sz w:val="28"/>
                <w:szCs w:val="28"/>
                <w:lang w:val="en-US" w:eastAsia="zh-CN"/>
              </w:rPr>
              <w:t>根据《关于切实巩固我省义务教育教师工资收入专项督导工作成果的通知》（湘教督办〔2021〕10号），《关于开展2020年度义务教育教师工资收入落实情况专项督查的通知》（湘政教督办〔2021〕4号）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楷体"/>
                <w:sz w:val="28"/>
                <w:szCs w:val="28"/>
                <w:lang w:eastAsia="zh-CN"/>
              </w:rPr>
            </w:pPr>
            <w:r>
              <w:rPr>
                <w:rFonts w:hint="eastAsia" w:ascii="楷体" w:hAnsi="楷体" w:eastAsia="楷体"/>
                <w:sz w:val="28"/>
                <w:szCs w:val="28"/>
                <w:lang w:eastAsia="zh-CN"/>
              </w:rPr>
              <w:t>形成督查报告上报省教育督导办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楷体"/>
                <w:sz w:val="28"/>
                <w:szCs w:val="28"/>
                <w:lang w:eastAsia="zh-CN"/>
              </w:rPr>
            </w:pPr>
            <w:r>
              <w:rPr>
                <w:rFonts w:hint="eastAsia" w:ascii="楷体" w:hAnsi="楷体" w:eastAsia="楷体"/>
                <w:sz w:val="28"/>
                <w:szCs w:val="28"/>
                <w:lang w:eastAsia="zh-CN"/>
              </w:rPr>
              <w:t>下发了督查通报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6506" w:type="dxa"/>
            <w:gridSpan w:val="6"/>
            <w:tcBorders>
              <w:top w:val="single" w:color="auto" w:sz="4" w:space="0"/>
              <w:left w:val="nil"/>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 xml:space="preserve">否   </w:t>
            </w:r>
            <w:r>
              <w:rPr>
                <w:rFonts w:hint="eastAsia" w:ascii="楷体" w:hAnsi="楷体" w:eastAsia="楷体"/>
                <w:sz w:val="28"/>
                <w:szCs w:val="28"/>
              </w:rPr>
              <w:br w:type="textWrapping"/>
            </w: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lang w:eastAsia="zh-CN"/>
              </w:rPr>
              <w:t>湖南省教育督导条例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具体工作措施</w:t>
            </w:r>
          </w:p>
        </w:tc>
        <w:tc>
          <w:tcPr>
            <w:tcW w:w="6506" w:type="dxa"/>
            <w:gridSpan w:val="6"/>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sz w:val="28"/>
                <w:szCs w:val="28"/>
                <w:lang w:val="en-US" w:eastAsia="zh-CN"/>
              </w:rPr>
            </w:pPr>
            <w:r>
              <w:rPr>
                <w:rFonts w:hint="eastAsia" w:ascii="楷体" w:hAnsi="楷体" w:eastAsia="楷体"/>
                <w:sz w:val="28"/>
                <w:szCs w:val="28"/>
                <w:lang w:val="en-US" w:eastAsia="zh-CN"/>
              </w:rPr>
              <w:t>1.县市区全面督查。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 w:hAnsi="楷体" w:eastAsia="楷体"/>
                <w:sz w:val="28"/>
                <w:szCs w:val="28"/>
                <w:lang w:eastAsia="zh-CN"/>
              </w:rPr>
            </w:pPr>
            <w:r>
              <w:rPr>
                <w:rFonts w:hint="eastAsia" w:ascii="楷体" w:hAnsi="楷体" w:eastAsia="楷体"/>
                <w:sz w:val="28"/>
                <w:szCs w:val="28"/>
                <w:lang w:val="en-US" w:eastAsia="zh-CN"/>
              </w:rPr>
              <w:t>2.市人民政府</w:t>
            </w:r>
            <w:r>
              <w:rPr>
                <w:rFonts w:hint="eastAsia" w:ascii="楷体" w:hAnsi="楷体" w:eastAsia="楷体"/>
                <w:sz w:val="28"/>
                <w:szCs w:val="28"/>
                <w:lang w:eastAsia="zh-CN"/>
              </w:rPr>
              <w:t>教育督导委员会办公室联合</w:t>
            </w:r>
            <w:r>
              <w:rPr>
                <w:rFonts w:hint="eastAsia" w:ascii="楷体" w:hAnsi="楷体" w:eastAsia="楷体"/>
                <w:sz w:val="28"/>
                <w:szCs w:val="28"/>
                <w:lang w:val="en-US" w:eastAsia="zh-CN"/>
              </w:rPr>
              <w:t>人社、财政等部门开展</w:t>
            </w:r>
            <w:r>
              <w:rPr>
                <w:rFonts w:hint="eastAsia" w:ascii="楷体" w:hAnsi="楷体" w:eastAsia="楷体"/>
                <w:sz w:val="28"/>
                <w:szCs w:val="28"/>
                <w:lang w:eastAsia="zh-CN"/>
              </w:rPr>
              <w:t>市级督查，并形成工作报告上报省督导办。</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楷体" w:hAnsi="楷体" w:eastAsia="楷体"/>
                <w:sz w:val="28"/>
                <w:szCs w:val="28"/>
                <w:lang w:val="en-US" w:eastAsia="zh-CN"/>
              </w:rPr>
            </w:pPr>
            <w:r>
              <w:rPr>
                <w:rFonts w:hint="eastAsia" w:ascii="楷体" w:hAnsi="楷体" w:eastAsia="楷体"/>
                <w:sz w:val="28"/>
                <w:szCs w:val="28"/>
                <w:lang w:val="en-US" w:eastAsia="zh-CN"/>
              </w:rPr>
              <w:t>3.下发通报，核查各县整改情况。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506" w:type="dxa"/>
            <w:gridSpan w:val="6"/>
            <w:tcBorders>
              <w:top w:val="single" w:color="auto" w:sz="4" w:space="0"/>
              <w:left w:val="nil"/>
              <w:bottom w:val="single" w:color="auto" w:sz="4" w:space="0"/>
              <w:right w:val="single" w:color="auto" w:sz="4" w:space="0"/>
            </w:tcBorders>
            <w:vAlign w:val="center"/>
          </w:tcPr>
          <w:p>
            <w:pPr>
              <w:spacing w:line="320" w:lineRule="exact"/>
              <w:jc w:val="left"/>
              <w:rPr>
                <w:rFonts w:ascii="楷体" w:hAnsi="楷体" w:eastAsia="楷体"/>
                <w:sz w:val="28"/>
                <w:szCs w:val="28"/>
              </w:rPr>
            </w:pPr>
            <w:r>
              <w:rPr>
                <w:rFonts w:hint="eastAsia" w:ascii="楷体" w:hAnsi="楷体" w:eastAsia="楷体"/>
                <w:sz w:val="28"/>
                <w:szCs w:val="28"/>
                <w:lang w:eastAsia="zh-CN"/>
              </w:rPr>
              <w:t>未</w:t>
            </w:r>
            <w:r>
              <w:rPr>
                <w:rFonts w:hint="eastAsia" w:ascii="楷体" w:hAnsi="楷体" w:eastAsia="楷体"/>
                <w:sz w:val="28"/>
                <w:szCs w:val="28"/>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506"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 w:hAnsi="楷体" w:eastAsia="楷体"/>
                <w:sz w:val="28"/>
                <w:szCs w:val="28"/>
                <w:lang w:eastAsia="zh-CN"/>
              </w:rPr>
            </w:pPr>
            <w:r>
              <w:rPr>
                <w:rFonts w:hint="eastAsia" w:ascii="楷体" w:hAnsi="楷体" w:eastAsia="楷体" w:cs="Times New Roman"/>
                <w:sz w:val="28"/>
                <w:szCs w:val="2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资金使用管理</w:t>
            </w:r>
          </w:p>
        </w:tc>
        <w:tc>
          <w:tcPr>
            <w:tcW w:w="6506" w:type="dxa"/>
            <w:gridSpan w:val="6"/>
            <w:tcBorders>
              <w:top w:val="single" w:color="auto" w:sz="4" w:space="0"/>
              <w:left w:val="nil"/>
              <w:bottom w:val="single" w:color="auto" w:sz="4" w:space="0"/>
              <w:right w:val="single" w:color="auto" w:sz="4" w:space="0"/>
            </w:tcBorders>
            <w:vAlign w:val="center"/>
          </w:tcPr>
          <w:p>
            <w:pPr>
              <w:spacing w:line="0" w:lineRule="atLeast"/>
              <w:jc w:val="left"/>
              <w:rPr>
                <w:rFonts w:ascii="楷体" w:hAnsi="楷体" w:eastAsia="楷体"/>
                <w:sz w:val="28"/>
                <w:szCs w:val="28"/>
              </w:rPr>
            </w:pPr>
            <w:r>
              <w:rPr>
                <w:rFonts w:hint="eastAsia" w:ascii="楷体" w:hAnsi="楷体" w:eastAsia="楷体"/>
                <w:sz w:val="28"/>
                <w:szCs w:val="28"/>
                <w:lang w:eastAsia="zh-CN"/>
              </w:rPr>
              <w:t>无</w:t>
            </w:r>
            <w:r>
              <w:rPr>
                <w:rFonts w:hint="eastAsia" w:ascii="楷体" w:hAnsi="楷体" w:eastAsia="楷体"/>
                <w:sz w:val="28"/>
                <w:szCs w:val="28"/>
              </w:rPr>
              <w:t>超标准开支、超预算等情况。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财务管理制度</w:t>
            </w:r>
          </w:p>
        </w:tc>
        <w:tc>
          <w:tcPr>
            <w:tcW w:w="6506" w:type="dxa"/>
            <w:gridSpan w:val="6"/>
            <w:tcBorders>
              <w:top w:val="single" w:color="auto" w:sz="4" w:space="0"/>
              <w:left w:val="nil"/>
              <w:bottom w:val="single" w:color="auto" w:sz="4" w:space="0"/>
              <w:right w:val="single" w:color="auto" w:sz="4" w:space="0"/>
            </w:tcBorders>
            <w:vAlign w:val="center"/>
          </w:tcPr>
          <w:p>
            <w:pPr>
              <w:spacing w:line="0" w:lineRule="atLeast"/>
              <w:jc w:val="left"/>
              <w:rPr>
                <w:rFonts w:ascii="楷体" w:hAnsi="楷体" w:eastAsia="楷体"/>
                <w:sz w:val="28"/>
                <w:szCs w:val="28"/>
              </w:rPr>
            </w:pPr>
            <w:r>
              <w:rPr>
                <w:rFonts w:hint="eastAsia" w:ascii="楷体" w:hAnsi="楷体" w:eastAsia="楷体"/>
                <w:sz w:val="28"/>
                <w:szCs w:val="28"/>
              </w:rPr>
              <w:t>报账管理制度</w:t>
            </w:r>
            <w:r>
              <w:rPr>
                <w:rFonts w:hint="eastAsia" w:ascii="楷体" w:hAnsi="楷体" w:eastAsia="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560" w:firstLineChars="200"/>
              <w:rPr>
                <w:rFonts w:ascii="楷体" w:hAnsi="楷体" w:eastAsia="楷体"/>
                <w:sz w:val="28"/>
                <w:szCs w:val="28"/>
              </w:rPr>
            </w:pPr>
            <w:r>
              <w:rPr>
                <w:rFonts w:hint="eastAsia" w:ascii="楷体" w:hAnsi="楷体" w:eastAsia="楷体"/>
                <w:sz w:val="28"/>
                <w:szCs w:val="28"/>
              </w:rPr>
              <w:t>资</w:t>
            </w:r>
            <w:r>
              <w:rPr>
                <w:rFonts w:hint="eastAsia" w:ascii="楷体" w:hAnsi="楷体" w:eastAsia="楷体"/>
                <w:sz w:val="28"/>
                <w:szCs w:val="28"/>
                <w:lang w:eastAsia="zh-CN"/>
              </w:rPr>
              <w:t>资</w:t>
            </w:r>
            <w:r>
              <w:rPr>
                <w:rFonts w:hint="eastAsia" w:ascii="楷体" w:hAnsi="楷体" w:eastAsia="楷体"/>
                <w:sz w:val="28"/>
                <w:szCs w:val="28"/>
              </w:rPr>
              <w:t>金到位使用情况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应到位资金（万元）</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w:t>
            </w:r>
            <w:bookmarkStart w:id="0" w:name="_GoBack"/>
            <w:bookmarkEnd w:id="0"/>
            <w:r>
              <w:rPr>
                <w:rFonts w:hint="eastAsia" w:ascii="楷体" w:hAnsi="楷体" w:eastAsia="楷体"/>
                <w:sz w:val="28"/>
                <w:szCs w:val="28"/>
              </w:rPr>
              <w:t>支出（万元）</w:t>
            </w: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8</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556" w:type="dxa"/>
            <w:gridSpan w:val="7"/>
            <w:tcBorders>
              <w:top w:val="single" w:color="auto" w:sz="4" w:space="0"/>
              <w:left w:val="nil"/>
              <w:bottom w:val="single" w:color="auto" w:sz="4" w:space="0"/>
              <w:right w:val="single" w:color="auto" w:sz="4" w:space="0"/>
            </w:tcBorders>
          </w:tcPr>
          <w:p>
            <w:pPr>
              <w:ind w:firstLine="280" w:firstLineChars="100"/>
              <w:rPr>
                <w:rFonts w:hint="eastAsia" w:ascii="楷体" w:hAnsi="楷体" w:eastAsia="楷体"/>
                <w:sz w:val="28"/>
                <w:szCs w:val="28"/>
                <w:lang w:val="en-US" w:eastAsia="zh-CN"/>
              </w:rPr>
            </w:pPr>
            <w:r>
              <w:rPr>
                <w:rFonts w:hint="eastAsia" w:ascii="楷体" w:hAnsi="楷体" w:eastAsia="楷体"/>
                <w:sz w:val="28"/>
                <w:szCs w:val="28"/>
                <w:lang w:val="en-US" w:eastAsia="zh-CN"/>
              </w:rPr>
              <w:t>经督查整改，</w:t>
            </w:r>
            <w:r>
              <w:rPr>
                <w:rFonts w:hint="eastAsia" w:ascii="楷体" w:hAnsi="楷体" w:eastAsia="楷体" w:cs="Times New Roman"/>
                <w:sz w:val="28"/>
                <w:szCs w:val="28"/>
                <w:lang w:val="en-US" w:eastAsia="zh-CN"/>
              </w:rPr>
              <w:t>确保义务教育教师平均工资收入不低于当地公务员平均工资收入水平</w:t>
            </w:r>
            <w:r>
              <w:rPr>
                <w:rFonts w:hint="eastAsia" w:ascii="楷体" w:hAnsi="楷体" w:eastAsia="楷体"/>
                <w:sz w:val="28"/>
                <w:szCs w:val="28"/>
                <w:lang w:val="en-US" w:eastAsia="zh-CN"/>
              </w:rPr>
              <w:t>。</w:t>
            </w:r>
          </w:p>
          <w:p>
            <w:pPr>
              <w:rPr>
                <w:rFonts w:hint="eastAsia" w:ascii="楷体" w:hAnsi="楷体" w:eastAsia="楷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hint="eastAsia"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 xml:space="preserve"> 说明：用定量分析和定性分析的方式，反映项目实施后所产生的社会效益、经济效益、环境生态效益及对可持续发展的影响。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r>
              <w:rPr>
                <w:rFonts w:hint="eastAsia" w:ascii="楷体" w:hAnsi="楷体" w:eastAsia="楷体"/>
                <w:sz w:val="28"/>
                <w:szCs w:val="28"/>
              </w:rPr>
              <w:t xml:space="preserve"> 说明：反映项目资金使用管理和项目绩效等方面存在的问题并综合分析，提出相应的改进措施和建议。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ind w:firstLine="280" w:firstLineChars="100"/>
              <w:rPr>
                <w:rFonts w:ascii="楷体" w:hAnsi="楷体" w:eastAsia="楷体"/>
                <w:sz w:val="28"/>
                <w:szCs w:val="28"/>
              </w:rPr>
            </w:pPr>
            <w:r>
              <w:rPr>
                <w:rFonts w:hint="eastAsia" w:ascii="楷体" w:hAnsi="楷体" w:eastAsia="楷体"/>
                <w:sz w:val="28"/>
                <w:szCs w:val="28"/>
              </w:rPr>
              <w:t>说明：主管部门对项目单位填报内容的客观真实性进行审核，并对项目单位的自评结论签具是否认定的意见。</w:t>
            </w:r>
          </w:p>
          <w:p>
            <w:pPr>
              <w:rPr>
                <w:rFonts w:hint="eastAsia"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hint="eastAsia" w:ascii="楷体" w:hAnsi="楷体" w:eastAsia="楷体"/>
          <w:sz w:val="32"/>
          <w:szCs w:val="32"/>
        </w:rPr>
      </w:pPr>
      <w:r>
        <w:rPr>
          <w:rFonts w:hint="eastAsia" w:ascii="楷体" w:hAnsi="楷体" w:eastAsia="楷体"/>
          <w:sz w:val="32"/>
          <w:szCs w:val="32"/>
        </w:rPr>
        <w:t xml:space="preserve">单位负责人：   </w:t>
      </w:r>
    </w:p>
    <w:p>
      <w:pPr>
        <w:spacing w:line="480" w:lineRule="exact"/>
        <w:rPr>
          <w:rFonts w:hint="eastAsia" w:ascii="楷体" w:hAnsi="楷体" w:eastAsia="楷体"/>
          <w:sz w:val="32"/>
          <w:szCs w:val="32"/>
        </w:rPr>
      </w:pPr>
      <w:r>
        <w:rPr>
          <w:rFonts w:hint="eastAsia" w:ascii="楷体" w:hAnsi="楷体" w:eastAsia="楷体"/>
          <w:sz w:val="32"/>
          <w:szCs w:val="32"/>
        </w:rPr>
        <w:t xml:space="preserve">项目负责人：   </w:t>
      </w:r>
    </w:p>
    <w:p>
      <w:pPr>
        <w:spacing w:line="480" w:lineRule="exact"/>
        <w:rPr>
          <w:rFonts w:hint="eastAsia" w:ascii="楷体" w:hAnsi="楷体" w:eastAsia="楷体"/>
          <w:sz w:val="32"/>
          <w:szCs w:val="32"/>
        </w:rPr>
      </w:pPr>
      <w:r>
        <w:rPr>
          <w:rFonts w:hint="eastAsia" w:ascii="楷体" w:hAnsi="楷体" w:eastAsia="楷体"/>
          <w:sz w:val="32"/>
          <w:szCs w:val="32"/>
        </w:rPr>
        <w:t>评价负责人：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FlNzUxNTBiMTM3ZDJhYTQ3ZTlkYTJhNmQ5MWRmMTEifQ=="/>
  </w:docVars>
  <w:rsids>
    <w:rsidRoot w:val="00BC70BC"/>
    <w:rsid w:val="00400236"/>
    <w:rsid w:val="006F30F9"/>
    <w:rsid w:val="007F5802"/>
    <w:rsid w:val="00BC70BC"/>
    <w:rsid w:val="1B201CBF"/>
    <w:rsid w:val="1FBB51CB"/>
    <w:rsid w:val="3CCD4803"/>
    <w:rsid w:val="3EAE41A0"/>
    <w:rsid w:val="400C5122"/>
    <w:rsid w:val="41054FC2"/>
    <w:rsid w:val="5628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929</Words>
  <Characters>955</Characters>
  <Lines>10</Lines>
  <Paragraphs>2</Paragraphs>
  <TotalTime>1</TotalTime>
  <ScaleCrop>false</ScaleCrop>
  <LinksUpToDate>false</LinksUpToDate>
  <CharactersWithSpaces>1167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2021-06-15T07:59:00Z</dcterms:created>
  <dc:creator>Administrator</dc:creator>
  <cp:lastModifiedBy>Administrator</cp:lastModifiedBy>
  <dcterms:modified xsi:type="dcterms:W3CDTF">2022-09-07T07:46:32Z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57E1760E95124C65B1140724FFDDB42D</vt:lpwstr>
  </property>
</Properties>
</file>