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spacing w:line="360" w:lineRule="auto"/>
        <w:ind w:firstLine="320" w:firstLineChars="100"/>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sz w:val="32"/>
          <w:szCs w:val="32"/>
          <w:lang w:eastAsia="zh-CN"/>
        </w:rPr>
        <w:t>邵阳市教育局</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rPr>
        <w:t>填报日期：</w:t>
      </w:r>
      <w:r>
        <w:rPr>
          <w:rFonts w:hint="eastAsia" w:ascii="楷体" w:hAnsi="楷体" w:eastAsia="楷体"/>
          <w:sz w:val="32"/>
          <w:szCs w:val="32"/>
          <w:lang w:val="en-US" w:eastAsia="zh-CN"/>
        </w:rPr>
        <w:t>2021</w:t>
      </w:r>
      <w:r>
        <w:rPr>
          <w:rFonts w:hint="eastAsia" w:ascii="楷体" w:hAnsi="楷体" w:eastAsia="楷体"/>
          <w:sz w:val="32"/>
          <w:szCs w:val="32"/>
        </w:rPr>
        <w:t>年</w:t>
      </w:r>
      <w:r>
        <w:rPr>
          <w:rFonts w:hint="eastAsia" w:ascii="楷体" w:hAnsi="楷体" w:eastAsia="楷体"/>
          <w:sz w:val="32"/>
          <w:szCs w:val="32"/>
          <w:lang w:val="en-US" w:eastAsia="zh-CN"/>
        </w:rPr>
        <w:t>6</w:t>
      </w:r>
      <w:r>
        <w:rPr>
          <w:rFonts w:hint="eastAsia" w:ascii="楷体" w:hAnsi="楷体" w:eastAsia="楷体"/>
          <w:sz w:val="32"/>
          <w:szCs w:val="32"/>
        </w:rPr>
        <w:t>月</w:t>
      </w:r>
      <w:r>
        <w:rPr>
          <w:rFonts w:hint="eastAsia" w:ascii="楷体" w:hAnsi="楷体" w:eastAsia="楷体"/>
          <w:sz w:val="32"/>
          <w:szCs w:val="32"/>
          <w:lang w:val="en-US" w:eastAsia="zh-CN"/>
        </w:rPr>
        <w:t>16</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val="en-US" w:eastAsia="zh-CN"/>
              </w:rPr>
              <w:t>义务教育教师工资待遇落实情况专项督导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1.</w:t>
            </w:r>
            <w:r>
              <w:rPr>
                <w:rFonts w:hint="eastAsia" w:ascii="楷体" w:hAnsi="楷体" w:eastAsia="楷体" w:cs="Times New Roman"/>
                <w:sz w:val="28"/>
                <w:szCs w:val="28"/>
                <w:lang w:eastAsia="zh-CN"/>
              </w:rPr>
              <w:t>专家评审费</w:t>
            </w:r>
            <w:r>
              <w:rPr>
                <w:rFonts w:hint="eastAsia" w:ascii="楷体" w:hAnsi="楷体" w:eastAsia="楷体" w:cs="Times New Roman"/>
                <w:sz w:val="28"/>
                <w:szCs w:val="28"/>
                <w:lang w:val="en-US" w:eastAsia="zh-CN"/>
              </w:rPr>
              <w:t>2.</w:t>
            </w:r>
            <w:r>
              <w:rPr>
                <w:rFonts w:hint="eastAsia" w:ascii="楷体" w:hAnsi="楷体" w:eastAsia="楷体" w:cs="Times New Roman"/>
                <w:sz w:val="28"/>
                <w:szCs w:val="28"/>
                <w:lang w:eastAsia="zh-CN"/>
              </w:rPr>
              <w:t>住宿、伙食费</w:t>
            </w:r>
            <w:r>
              <w:rPr>
                <w:rFonts w:hint="eastAsia" w:ascii="楷体" w:hAnsi="楷体" w:eastAsia="楷体" w:cs="Times New Roman"/>
                <w:sz w:val="28"/>
                <w:szCs w:val="28"/>
                <w:lang w:val="en-US" w:eastAsia="zh-CN"/>
              </w:rPr>
              <w:t>3.车辆租金4.会议组织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spacing w:line="540" w:lineRule="exact"/>
              <w:jc w:val="left"/>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□经常性  □一次性  </w:t>
            </w:r>
            <w:r>
              <w:rPr>
                <w:rFonts w:hint="eastAsia" w:ascii="楷体" w:hAnsi="楷体" w:eastAsia="楷体"/>
                <w:sz w:val="28"/>
                <w:szCs w:val="28"/>
                <w:lang w:eastAsia="zh-CN"/>
              </w:rPr>
              <w:t>☑</w:t>
            </w:r>
            <w:r>
              <w:rPr>
                <w:rFonts w:hint="eastAsia" w:ascii="楷体" w:hAnsi="楷体" w:eastAsia="楷体"/>
                <w:sz w:val="28"/>
                <w:szCs w:val="28"/>
              </w:rPr>
              <w:t>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hint="eastAsia" w:ascii="楷体" w:hAnsi="楷体" w:eastAsia="楷体"/>
                <w:sz w:val="28"/>
                <w:szCs w:val="28"/>
                <w:lang w:val="en-US" w:eastAsia="zh-CN"/>
              </w:rPr>
              <w:t>12</w:t>
            </w:r>
            <w:r>
              <w:rPr>
                <w:rFonts w:hint="eastAsia" w:ascii="楷体" w:hAnsi="楷体" w:eastAsia="楷体"/>
                <w:sz w:val="28"/>
                <w:szCs w:val="28"/>
              </w:rPr>
              <w:t>万元，其中：省级财政  万元；市级财政</w:t>
            </w:r>
            <w:r>
              <w:rPr>
                <w:rFonts w:hint="eastAsia" w:ascii="楷体" w:hAnsi="楷体" w:eastAsia="楷体"/>
                <w:sz w:val="28"/>
                <w:szCs w:val="28"/>
                <w:lang w:val="en-US" w:eastAsia="zh-CN"/>
              </w:rPr>
              <w:t>12</w:t>
            </w:r>
            <w:r>
              <w:rPr>
                <w:rFonts w:hint="eastAsia" w:ascii="楷体" w:hAnsi="楷体" w:eastAsia="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3</w:t>
            </w:r>
            <w:r>
              <w:rPr>
                <w:rFonts w:hint="eastAsia" w:ascii="楷体" w:hAnsi="楷体" w:eastAsia="楷体"/>
                <w:sz w:val="28"/>
                <w:szCs w:val="28"/>
              </w:rPr>
              <w:t>月起至</w:t>
            </w: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11</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560" w:firstLineChars="200"/>
              <w:jc w:val="left"/>
              <w:rPr>
                <w:rFonts w:ascii="楷体" w:hAnsi="楷体" w:eastAsia="楷体"/>
                <w:sz w:val="28"/>
                <w:szCs w:val="28"/>
              </w:rPr>
            </w:pPr>
            <w:r>
              <w:rPr>
                <w:rFonts w:hint="eastAsia" w:ascii="楷体" w:hAnsi="楷体" w:eastAsia="楷体"/>
                <w:sz w:val="28"/>
                <w:szCs w:val="28"/>
                <w:lang w:val="en-US" w:eastAsia="zh-CN"/>
              </w:rPr>
              <w:t>根据《关于进一步做好义务教育教师工资待遇落实情况专项督导工作的通知》（湘教督办〔2020〕5号），《关于开展2020年义务教育教师工资待遇落实情况专项督导》（邵政教督委〔2020〕2号）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注明该项目是否有可行性研究报告。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有评估报告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 xml:space="preserve">否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lang w:eastAsia="zh-CN"/>
              </w:rPr>
              <w:t>湖南省教育督导条例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1.县市区全面督查。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2.市人民政府</w:t>
            </w:r>
            <w:r>
              <w:rPr>
                <w:rFonts w:hint="eastAsia" w:ascii="楷体" w:hAnsi="楷体" w:eastAsia="楷体"/>
                <w:sz w:val="28"/>
                <w:szCs w:val="28"/>
                <w:lang w:eastAsia="zh-CN"/>
              </w:rPr>
              <w:t>教育督导委员会办公室联合</w:t>
            </w:r>
            <w:r>
              <w:rPr>
                <w:rFonts w:hint="eastAsia" w:ascii="楷体" w:hAnsi="楷体" w:eastAsia="楷体"/>
                <w:sz w:val="28"/>
                <w:szCs w:val="28"/>
                <w:lang w:val="en-US" w:eastAsia="zh-CN"/>
              </w:rPr>
              <w:t>人社、财政等部门开展</w:t>
            </w:r>
            <w:r>
              <w:rPr>
                <w:rFonts w:hint="eastAsia" w:ascii="楷体" w:hAnsi="楷体" w:eastAsia="楷体"/>
                <w:sz w:val="28"/>
                <w:szCs w:val="28"/>
                <w:lang w:eastAsia="zh-CN"/>
              </w:rPr>
              <w:t>市级督查，并将结果上报省督导办。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3.组织全市各县市区开展工作推进及调度会。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sz w:val="28"/>
                <w:szCs w:val="28"/>
                <w:lang w:val="en-US" w:eastAsia="zh-CN"/>
              </w:rPr>
            </w:pPr>
            <w:r>
              <w:rPr>
                <w:rFonts w:hint="eastAsia" w:ascii="楷体" w:hAnsi="楷体" w:eastAsia="楷体"/>
                <w:sz w:val="28"/>
                <w:szCs w:val="28"/>
                <w:lang w:val="en-US" w:eastAsia="zh-CN"/>
              </w:rPr>
              <w:t>4.迎接省义务教育教师工资待遇落实情况及教育改革发展重点交账任务推进情况专项督导并开展整改。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lang w:eastAsia="zh-CN"/>
              </w:rPr>
              <w:t>未</w:t>
            </w:r>
            <w:r>
              <w:rPr>
                <w:rFonts w:hint="eastAsia" w:ascii="楷体" w:hAnsi="楷体" w:eastAsia="楷体"/>
                <w:sz w:val="28"/>
                <w:szCs w:val="28"/>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hint="eastAsia" w:ascii="楷体" w:hAnsi="楷体" w:eastAsia="楷体"/>
                <w:sz w:val="28"/>
                <w:szCs w:val="28"/>
                <w:lang w:eastAsia="zh-CN"/>
              </w:rPr>
            </w:pPr>
            <w:r>
              <w:rPr>
                <w:rFonts w:hint="eastAsia" w:ascii="楷体" w:hAnsi="楷体" w:eastAsia="楷体"/>
                <w:sz w:val="28"/>
                <w:szCs w:val="28"/>
                <w:lang w:eastAsia="zh-CN"/>
              </w:rPr>
              <w:t>顺利通过省督查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spacing w:line="0" w:lineRule="atLeast"/>
              <w:jc w:val="left"/>
              <w:rPr>
                <w:rFonts w:ascii="楷体" w:hAnsi="楷体" w:eastAsia="楷体"/>
                <w:sz w:val="28"/>
                <w:szCs w:val="28"/>
              </w:rPr>
            </w:pPr>
            <w:r>
              <w:rPr>
                <w:rFonts w:hint="eastAsia" w:ascii="楷体" w:hAnsi="楷体" w:eastAsia="楷体"/>
                <w:sz w:val="28"/>
                <w:szCs w:val="28"/>
                <w:lang w:eastAsia="zh-CN"/>
              </w:rPr>
              <w:t>无</w:t>
            </w:r>
            <w:r>
              <w:rPr>
                <w:rFonts w:hint="eastAsia" w:ascii="楷体" w:hAnsi="楷体" w:eastAsia="楷体"/>
                <w:sz w:val="28"/>
                <w:szCs w:val="28"/>
              </w:rPr>
              <w:t>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0" w:lineRule="atLeast"/>
              <w:jc w:val="left"/>
              <w:rPr>
                <w:rFonts w:ascii="楷体" w:hAnsi="楷体" w:eastAsia="楷体"/>
                <w:sz w:val="28"/>
                <w:szCs w:val="28"/>
              </w:rPr>
            </w:pPr>
            <w:r>
              <w:rPr>
                <w:rFonts w:hint="eastAsia" w:ascii="楷体" w:hAnsi="楷体" w:eastAsia="楷体"/>
                <w:sz w:val="28"/>
                <w:szCs w:val="28"/>
              </w:rPr>
              <w:t>报账管理制度</w:t>
            </w:r>
            <w:r>
              <w:rPr>
                <w:rFonts w:hint="eastAsia" w:ascii="楷体" w:hAnsi="楷体" w:eastAsia="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资金到位使用情况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hint="eastAsia" w:ascii="楷体" w:hAnsi="楷体" w:eastAsia="楷体"/>
                <w:sz w:val="28"/>
                <w:szCs w:val="28"/>
                <w:lang w:val="en-US" w:eastAsia="zh-CN"/>
              </w:rPr>
            </w:pPr>
            <w:r>
              <w:rPr>
                <w:rFonts w:hint="eastAsia" w:ascii="楷体" w:hAnsi="楷体" w:eastAsia="楷体"/>
                <w:sz w:val="28"/>
                <w:szCs w:val="28"/>
                <w:lang w:val="en-US" w:eastAsia="zh-CN"/>
              </w:rPr>
              <w:t>经督查整改，各县市区义务教育教师基本工资及时足额发放到位,2018、2019年度义务教育教师工资收入基本追补到位。</w:t>
            </w:r>
          </w:p>
          <w:p>
            <w:pPr>
              <w:rPr>
                <w:rFonts w:hint="eastAsia" w:ascii="楷体" w:hAnsi="楷体" w:eastAsia="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xml:space="preserve"> 说明：用定量分析和定性分析的方式，反映项目实施后所产生的社会效益、经济效益、环境生态效益及对可持续发展的影响。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xml:space="preserve"> 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32"/>
          <w:szCs w:val="32"/>
        </w:rPr>
      </w:pPr>
      <w:r>
        <w:rPr>
          <w:rFonts w:hint="eastAsia" w:ascii="楷体" w:hAnsi="楷体" w:eastAsia="楷体"/>
          <w:sz w:val="32"/>
          <w:szCs w:val="32"/>
        </w:rPr>
        <w:t xml:space="preserve">单位负责人： </w:t>
      </w:r>
      <w:r>
        <w:rPr>
          <w:rFonts w:hint="eastAsia" w:ascii="楷体" w:hAnsi="楷体" w:eastAsia="楷体"/>
          <w:sz w:val="32"/>
          <w:szCs w:val="32"/>
          <w:lang w:eastAsia="zh-CN"/>
        </w:rPr>
        <w:t>肖玉叶</w:t>
      </w:r>
      <w:r>
        <w:rPr>
          <w:rFonts w:hint="eastAsia" w:ascii="楷体" w:hAnsi="楷体" w:eastAsia="楷体"/>
          <w:sz w:val="32"/>
          <w:szCs w:val="32"/>
        </w:rPr>
        <w:t xml:space="preserve">  </w:t>
      </w:r>
    </w:p>
    <w:p>
      <w:pPr>
        <w:spacing w:line="480" w:lineRule="exact"/>
        <w:rPr>
          <w:rFonts w:hint="eastAsia" w:ascii="楷体" w:hAnsi="楷体" w:eastAsia="楷体"/>
          <w:sz w:val="32"/>
          <w:szCs w:val="32"/>
        </w:rPr>
      </w:pPr>
      <w:r>
        <w:rPr>
          <w:rFonts w:hint="eastAsia" w:ascii="楷体" w:hAnsi="楷体" w:eastAsia="楷体"/>
          <w:sz w:val="32"/>
          <w:szCs w:val="32"/>
        </w:rPr>
        <w:t>项目负责人：</w:t>
      </w:r>
      <w:r>
        <w:rPr>
          <w:rFonts w:hint="eastAsia" w:ascii="楷体" w:hAnsi="楷体" w:eastAsia="楷体"/>
          <w:sz w:val="32"/>
          <w:szCs w:val="32"/>
          <w:lang w:eastAsia="zh-CN"/>
        </w:rPr>
        <w:t>杨进琼</w:t>
      </w:r>
      <w:r>
        <w:rPr>
          <w:rFonts w:hint="eastAsia" w:ascii="楷体" w:hAnsi="楷体" w:eastAsia="楷体"/>
          <w:sz w:val="32"/>
          <w:szCs w:val="32"/>
        </w:rPr>
        <w:t xml:space="preserve">   </w:t>
      </w:r>
    </w:p>
    <w:p>
      <w:pPr>
        <w:spacing w:line="480" w:lineRule="exact"/>
        <w:rPr>
          <w:rFonts w:hint="eastAsia" w:ascii="楷体" w:hAnsi="楷体" w:eastAsia="楷体"/>
          <w:sz w:val="32"/>
          <w:szCs w:val="32"/>
          <w:lang w:eastAsia="zh-CN"/>
        </w:rPr>
      </w:pPr>
      <w:r>
        <w:rPr>
          <w:rFonts w:hint="eastAsia" w:ascii="楷体" w:hAnsi="楷体" w:eastAsia="楷体"/>
          <w:sz w:val="32"/>
          <w:szCs w:val="32"/>
        </w:rPr>
        <w:t>评价负责人：</w:t>
      </w:r>
      <w:r>
        <w:rPr>
          <w:rFonts w:hint="eastAsia" w:ascii="楷体" w:hAnsi="楷体" w:eastAsia="楷体"/>
          <w:sz w:val="32"/>
          <w:szCs w:val="32"/>
          <w:lang w:eastAsia="zh-CN"/>
        </w:rPr>
        <w:t>肖克勤</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0BC"/>
    <w:rsid w:val="00400236"/>
    <w:rsid w:val="006F30F9"/>
    <w:rsid w:val="007F5802"/>
    <w:rsid w:val="00BC70BC"/>
    <w:rsid w:val="2CE43237"/>
    <w:rsid w:val="3CCD4803"/>
    <w:rsid w:val="41054FC2"/>
    <w:rsid w:val="5628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1241</Characters>
  <Lines>10</Lines>
  <Paragraphs>2</Paragraphs>
  <TotalTime>2</TotalTime>
  <ScaleCrop>false</ScaleCrop>
  <LinksUpToDate>false</LinksUpToDate>
  <CharactersWithSpaces>1456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dcterms:modified xsi:type="dcterms:W3CDTF">2021-06-21T02:33:49Z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57E1760E95124C65B1140724FFDDB42D</vt:lpwstr>
  </property>
</Properties>
</file>