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ind w:firstLine="320" w:firstLineChars="100"/>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val="en-US" w:eastAsia="zh-CN"/>
        </w:rPr>
        <w:t>2021</w:t>
      </w:r>
      <w:r>
        <w:rPr>
          <w:rFonts w:hint="eastAsia" w:ascii="楷体" w:hAnsi="楷体" w:eastAsia="楷体"/>
          <w:sz w:val="32"/>
          <w:szCs w:val="32"/>
        </w:rPr>
        <w:t>年</w:t>
      </w:r>
      <w:r>
        <w:rPr>
          <w:rFonts w:hint="eastAsia" w:ascii="楷体" w:hAnsi="楷体" w:eastAsia="楷体"/>
          <w:sz w:val="32"/>
          <w:szCs w:val="32"/>
          <w:lang w:val="en-US" w:eastAsia="zh-CN"/>
        </w:rPr>
        <w:t>6</w:t>
      </w:r>
      <w:r>
        <w:rPr>
          <w:rFonts w:hint="eastAsia" w:ascii="楷体" w:hAnsi="楷体" w:eastAsia="楷体"/>
          <w:sz w:val="32"/>
          <w:szCs w:val="32"/>
        </w:rPr>
        <w:t>月</w:t>
      </w:r>
      <w:r>
        <w:rPr>
          <w:rFonts w:hint="eastAsia" w:ascii="楷体" w:hAnsi="楷体" w:eastAsia="楷体"/>
          <w:sz w:val="32"/>
          <w:szCs w:val="32"/>
          <w:lang w:val="en-US" w:eastAsia="zh-CN"/>
        </w:rPr>
        <w:t>16</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val="en-US" w:eastAsia="zh-CN"/>
              </w:rPr>
              <w:t>2019、</w:t>
            </w:r>
            <w:r>
              <w:rPr>
                <w:rFonts w:hint="eastAsia" w:ascii="楷体" w:hAnsi="楷体" w:eastAsia="楷体"/>
                <w:sz w:val="28"/>
                <w:szCs w:val="28"/>
                <w:lang w:eastAsia="zh-CN"/>
              </w:rPr>
              <w:t>20</w:t>
            </w:r>
            <w:r>
              <w:rPr>
                <w:rFonts w:hint="eastAsia" w:ascii="楷体" w:hAnsi="楷体" w:eastAsia="楷体"/>
                <w:sz w:val="28"/>
                <w:szCs w:val="28"/>
                <w:lang w:val="en-US" w:eastAsia="zh-CN"/>
              </w:rPr>
              <w:t>20</w:t>
            </w:r>
            <w:r>
              <w:rPr>
                <w:rFonts w:hint="eastAsia" w:ascii="楷体" w:hAnsi="楷体" w:eastAsia="楷体"/>
                <w:sz w:val="28"/>
                <w:szCs w:val="28"/>
              </w:rPr>
              <w:t>年度</w:t>
            </w:r>
            <w:r>
              <w:rPr>
                <w:rFonts w:hint="eastAsia" w:ascii="楷体" w:hAnsi="楷体" w:eastAsia="楷体"/>
                <w:sz w:val="28"/>
                <w:szCs w:val="28"/>
                <w:lang w:eastAsia="zh-CN"/>
              </w:rPr>
              <w:t>义务教育标准化教学点乡镇寄宿制学校和农村公办幼儿园建设项目校（园）评估验收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ind w:firstLine="140" w:firstLineChars="50"/>
              <w:jc w:val="left"/>
              <w:rPr>
                <w:rFonts w:ascii="楷体" w:hAnsi="楷体" w:eastAsia="楷体"/>
                <w:sz w:val="28"/>
                <w:szCs w:val="28"/>
              </w:rPr>
            </w:pPr>
            <w:r>
              <w:rPr>
                <w:rFonts w:hint="eastAsia" w:ascii="楷体" w:hAnsi="楷体" w:eastAsia="楷体"/>
                <w:sz w:val="28"/>
                <w:szCs w:val="28"/>
                <w:lang w:val="en-US" w:eastAsia="zh-CN"/>
              </w:rPr>
              <w:t>1.</w:t>
            </w:r>
            <w:r>
              <w:rPr>
                <w:rFonts w:hint="eastAsia" w:ascii="楷体" w:hAnsi="楷体" w:eastAsia="楷体"/>
                <w:sz w:val="28"/>
                <w:szCs w:val="28"/>
                <w:lang w:eastAsia="zh-CN"/>
              </w:rPr>
              <w:t>专家评审费</w:t>
            </w:r>
            <w:r>
              <w:rPr>
                <w:rFonts w:hint="eastAsia" w:ascii="楷体" w:hAnsi="楷体" w:eastAsia="楷体"/>
                <w:sz w:val="28"/>
                <w:szCs w:val="28"/>
                <w:lang w:val="en-US" w:eastAsia="zh-CN"/>
              </w:rPr>
              <w:t>2.</w:t>
            </w:r>
            <w:r>
              <w:rPr>
                <w:rFonts w:hint="eastAsia" w:ascii="楷体" w:hAnsi="楷体" w:eastAsia="楷体"/>
                <w:sz w:val="28"/>
                <w:szCs w:val="28"/>
                <w:lang w:eastAsia="zh-CN"/>
              </w:rPr>
              <w:t>住宿、伙食费</w:t>
            </w:r>
            <w:r>
              <w:rPr>
                <w:rFonts w:hint="eastAsia" w:ascii="楷体" w:hAnsi="楷体" w:eastAsia="楷体"/>
                <w:sz w:val="28"/>
                <w:szCs w:val="28"/>
                <w:lang w:val="en-US" w:eastAsia="zh-CN"/>
              </w:rPr>
              <w:t>3.车辆租金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eastAsia="zh-CN"/>
              </w:rPr>
              <w:t>☑</w:t>
            </w:r>
            <w:r>
              <w:rPr>
                <w:rFonts w:hint="eastAsia" w:ascii="楷体" w:hAnsi="楷体" w:eastAsia="楷体"/>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8</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8</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4</w:t>
            </w:r>
            <w:r>
              <w:rPr>
                <w:rFonts w:hint="eastAsia" w:ascii="楷体" w:hAnsi="楷体" w:eastAsia="楷体"/>
                <w:sz w:val="28"/>
                <w:szCs w:val="28"/>
              </w:rPr>
              <w:t>月起至</w:t>
            </w: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12</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val="en-US" w:eastAsia="zh-CN"/>
              </w:rPr>
              <w:t>根据湖南省教育督导委员会办公室《</w:t>
            </w:r>
            <w:r>
              <w:rPr>
                <w:rFonts w:ascii="楷体" w:hAnsi="楷体" w:eastAsia="楷体"/>
                <w:sz w:val="28"/>
                <w:szCs w:val="28"/>
                <w:lang w:val="en-US" w:eastAsia="zh-CN"/>
              </w:rPr>
              <w:t>关于开展</w:t>
            </w:r>
            <w:r>
              <w:rPr>
                <w:rFonts w:hint="default" w:ascii="楷体" w:hAnsi="楷体" w:eastAsia="楷体"/>
                <w:sz w:val="28"/>
                <w:szCs w:val="28"/>
                <w:lang w:val="en-US" w:eastAsia="zh-CN"/>
              </w:rPr>
              <w:t>2020年义务教育标准化教学点</w:t>
            </w:r>
            <w:r>
              <w:rPr>
                <w:rFonts w:hint="eastAsia" w:ascii="楷体" w:hAnsi="楷体" w:eastAsia="楷体"/>
                <w:sz w:val="28"/>
                <w:szCs w:val="28"/>
                <w:lang w:val="en-US" w:eastAsia="zh-CN"/>
              </w:rPr>
              <w:t>、</w:t>
            </w:r>
            <w:r>
              <w:rPr>
                <w:rFonts w:hint="default" w:ascii="楷体" w:hAnsi="楷体" w:eastAsia="楷体"/>
                <w:sz w:val="28"/>
                <w:szCs w:val="28"/>
                <w:lang w:val="en-US" w:eastAsia="zh-CN"/>
              </w:rPr>
              <w:t>乡镇寄宿制学校和农村公办幼儿园建设项目校（园）评估验收的通知</w:t>
            </w:r>
            <w:r>
              <w:rPr>
                <w:rFonts w:hint="eastAsia" w:ascii="楷体" w:hAnsi="楷体" w:eastAsia="楷体"/>
                <w:sz w:val="28"/>
                <w:szCs w:val="28"/>
                <w:lang w:val="en-US" w:eastAsia="zh-CN"/>
              </w:rPr>
              <w:t>》（湘教督办〔2020〕19号）文件要求。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根据湖南省教育厅和省教育督导委员会部署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验收结果已上报省督导办审议通过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注明实施该项目管理所依据的管理制度和办法的具体名称。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vAlign w:val="top"/>
          </w:tcPr>
          <w:p>
            <w:pPr>
              <w:spacing w:line="0" w:lineRule="atLeast"/>
              <w:jc w:val="both"/>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1.县市区初评。</w:t>
            </w:r>
          </w:p>
          <w:p>
            <w:pPr>
              <w:spacing w:line="0" w:lineRule="atLeast"/>
              <w:jc w:val="both"/>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2.市教育局和市人民政府</w:t>
            </w:r>
            <w:r>
              <w:rPr>
                <w:rFonts w:hint="eastAsia" w:ascii="楷体" w:hAnsi="楷体" w:eastAsia="楷体" w:cs="Times New Roman"/>
                <w:sz w:val="28"/>
                <w:szCs w:val="28"/>
                <w:lang w:eastAsia="zh-CN"/>
              </w:rPr>
              <w:t>教育督导委员会办公室联合组织市级评估。</w:t>
            </w:r>
          </w:p>
          <w:p>
            <w:pPr>
              <w:spacing w:line="0" w:lineRule="atLeast"/>
              <w:jc w:val="both"/>
              <w:rPr>
                <w:rFonts w:hint="eastAsia" w:ascii="楷体" w:hAnsi="楷体" w:eastAsia="楷体" w:cs="Times New Roman"/>
                <w:sz w:val="28"/>
                <w:szCs w:val="28"/>
              </w:rPr>
            </w:pPr>
            <w:r>
              <w:rPr>
                <w:rFonts w:hint="eastAsia" w:ascii="楷体" w:hAnsi="楷体" w:eastAsia="楷体" w:cs="Times New Roman"/>
                <w:sz w:val="28"/>
                <w:szCs w:val="28"/>
                <w:lang w:val="en-US" w:eastAsia="zh-CN"/>
              </w:rPr>
              <w:t>3.将市级评估情况上报至</w:t>
            </w:r>
            <w:r>
              <w:rPr>
                <w:rFonts w:hint="eastAsia" w:ascii="楷体" w:hAnsi="楷体" w:eastAsia="楷体" w:cs="Times New Roman"/>
                <w:sz w:val="28"/>
                <w:szCs w:val="28"/>
                <w:lang w:eastAsia="zh-CN"/>
              </w:rPr>
              <w:t>省教育督导委员会审核。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0" w:lineRule="atLeast"/>
              <w:jc w:val="both"/>
              <w:rPr>
                <w:rFonts w:hint="eastAsia" w:ascii="楷体" w:hAnsi="楷体" w:eastAsia="楷体" w:cs="Times New Roman"/>
                <w:sz w:val="28"/>
                <w:szCs w:val="28"/>
              </w:rPr>
            </w:pPr>
            <w:r>
              <w:rPr>
                <w:rFonts w:hint="eastAsia" w:ascii="楷体" w:hAnsi="楷体" w:eastAsia="楷体" w:cs="Times New Roman"/>
                <w:sz w:val="28"/>
                <w:szCs w:val="28"/>
                <w:lang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lang w:eastAsia="zh-CN"/>
              </w:rPr>
              <w:t>验收结果已上报省督导办审议通过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无超标准开支、超预算等情况。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报账管理制度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rPr>
              <w:t>说明：是指资金投入和项目实施后通过建造、购建和其他方式等形成和直接产生的有形或无形的产出成果（物质形态或非物质形态的产品或服务）及其数量、质量、平均成本和时效等情况。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说明：用定量分析和定性分析的方式，反映项目实施后所产生的社会效益、经济效益、环境生态效益及对可持续发展的影响。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单位负责人：</w:t>
      </w:r>
      <w:r>
        <w:rPr>
          <w:rFonts w:hint="eastAsia" w:ascii="楷体" w:hAnsi="楷体" w:eastAsia="楷体"/>
          <w:sz w:val="32"/>
          <w:szCs w:val="32"/>
          <w:lang w:eastAsia="zh-CN"/>
        </w:rPr>
        <w:t>肖玉叶</w:t>
      </w:r>
      <w:r>
        <w:rPr>
          <w:rFonts w:hint="eastAsia" w:ascii="楷体" w:hAnsi="楷体" w:eastAsia="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项目负责人：</w:t>
      </w:r>
      <w:r>
        <w:rPr>
          <w:rFonts w:hint="eastAsia" w:ascii="楷体" w:hAnsi="楷体" w:eastAsia="楷体"/>
          <w:sz w:val="32"/>
          <w:szCs w:val="32"/>
          <w:lang w:eastAsia="zh-CN"/>
        </w:rPr>
        <w:t>杨进琼</w:t>
      </w:r>
      <w:r>
        <w:rPr>
          <w:rFonts w:hint="eastAsia" w:ascii="楷体" w:hAnsi="楷体" w:eastAsia="楷体"/>
          <w:sz w:val="32"/>
          <w:szCs w:val="32"/>
        </w:rPr>
        <w:t xml:space="preserve">   </w:t>
      </w:r>
    </w:p>
    <w:p>
      <w:pPr>
        <w:spacing w:line="480" w:lineRule="exact"/>
        <w:rPr>
          <w:rFonts w:hint="eastAsia" w:ascii="楷体" w:hAnsi="楷体" w:eastAsia="楷体"/>
          <w:sz w:val="32"/>
          <w:szCs w:val="32"/>
          <w:lang w:eastAsia="zh-CN"/>
        </w:rPr>
      </w:pPr>
      <w:r>
        <w:rPr>
          <w:rFonts w:hint="eastAsia" w:ascii="楷体" w:hAnsi="楷体" w:eastAsia="楷体"/>
          <w:sz w:val="32"/>
          <w:szCs w:val="32"/>
        </w:rPr>
        <w:t>评价负责人：</w:t>
      </w:r>
      <w:r>
        <w:rPr>
          <w:rFonts w:hint="eastAsia" w:ascii="楷体" w:hAnsi="楷体" w:eastAsia="楷体"/>
          <w:sz w:val="32"/>
          <w:szCs w:val="32"/>
          <w:lang w:eastAsia="zh-CN"/>
        </w:rPr>
        <w:t>肖克勤</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70BC"/>
    <w:rsid w:val="00400236"/>
    <w:rsid w:val="006F30F9"/>
    <w:rsid w:val="007F5802"/>
    <w:rsid w:val="00BC70BC"/>
    <w:rsid w:val="03DA472F"/>
    <w:rsid w:val="0DE20225"/>
    <w:rsid w:val="0E565501"/>
    <w:rsid w:val="10320988"/>
    <w:rsid w:val="12BE69FC"/>
    <w:rsid w:val="147666EA"/>
    <w:rsid w:val="16FF4394"/>
    <w:rsid w:val="173A4452"/>
    <w:rsid w:val="1ACA219A"/>
    <w:rsid w:val="1CDF2707"/>
    <w:rsid w:val="1CF54AFD"/>
    <w:rsid w:val="1D9B7875"/>
    <w:rsid w:val="22267F6F"/>
    <w:rsid w:val="22881CC6"/>
    <w:rsid w:val="24EB1D77"/>
    <w:rsid w:val="26584D83"/>
    <w:rsid w:val="28D1249C"/>
    <w:rsid w:val="2A5142E3"/>
    <w:rsid w:val="2BFF7510"/>
    <w:rsid w:val="2DF759C9"/>
    <w:rsid w:val="2F3E3A98"/>
    <w:rsid w:val="2F7F1DC3"/>
    <w:rsid w:val="300318DF"/>
    <w:rsid w:val="33ED6BA7"/>
    <w:rsid w:val="34A91FA9"/>
    <w:rsid w:val="352F7C24"/>
    <w:rsid w:val="357339D8"/>
    <w:rsid w:val="35AB5F65"/>
    <w:rsid w:val="37256FF1"/>
    <w:rsid w:val="37926D99"/>
    <w:rsid w:val="38FD6D82"/>
    <w:rsid w:val="3AF72298"/>
    <w:rsid w:val="3C170DCC"/>
    <w:rsid w:val="41054FC2"/>
    <w:rsid w:val="42F53753"/>
    <w:rsid w:val="498D718C"/>
    <w:rsid w:val="4CA30181"/>
    <w:rsid w:val="4CE6602F"/>
    <w:rsid w:val="4E512CB6"/>
    <w:rsid w:val="4ECE17A8"/>
    <w:rsid w:val="4F7E540A"/>
    <w:rsid w:val="50E92F04"/>
    <w:rsid w:val="538212F0"/>
    <w:rsid w:val="53D6182A"/>
    <w:rsid w:val="543160A5"/>
    <w:rsid w:val="557C4A75"/>
    <w:rsid w:val="55C0744B"/>
    <w:rsid w:val="5CE94109"/>
    <w:rsid w:val="5E035E39"/>
    <w:rsid w:val="5E5E6DA6"/>
    <w:rsid w:val="5E640068"/>
    <w:rsid w:val="5F16450B"/>
    <w:rsid w:val="650A6153"/>
    <w:rsid w:val="68153500"/>
    <w:rsid w:val="6A6A0283"/>
    <w:rsid w:val="6BAF58D3"/>
    <w:rsid w:val="6D7F126D"/>
    <w:rsid w:val="6EF504F0"/>
    <w:rsid w:val="7069665B"/>
    <w:rsid w:val="72F459F8"/>
    <w:rsid w:val="739E0920"/>
    <w:rsid w:val="742B2762"/>
    <w:rsid w:val="747C2E50"/>
    <w:rsid w:val="74BA527E"/>
    <w:rsid w:val="74D07A95"/>
    <w:rsid w:val="75AD5235"/>
    <w:rsid w:val="76E0001A"/>
    <w:rsid w:val="7ADA3A74"/>
    <w:rsid w:val="7C1B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1241</Characters>
  <Lines>10</Lines>
  <Paragraphs>2</Paragraphs>
  <TotalTime>11</TotalTime>
  <ScaleCrop>false</ScaleCrop>
  <LinksUpToDate>false</LinksUpToDate>
  <CharactersWithSpaces>1456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dcterms:modified xsi:type="dcterms:W3CDTF">2021-06-21T02:46:17Z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57E1760E95124C65B1140724FFDDB42D</vt:lpwstr>
  </property>
</Properties>
</file>